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EA2670">
        <w:rPr>
          <w:lang w:val="bg-BG"/>
        </w:rPr>
        <w:t>9</w:t>
      </w:r>
      <w:r w:rsidR="00366E1C">
        <w:rPr>
          <w:lang w:val="bg-BG"/>
        </w:rPr>
        <w:t>4</w:t>
      </w:r>
      <w:r w:rsidR="00F133D8">
        <w:rPr>
          <w:lang w:val="bg-BG"/>
        </w:rPr>
        <w:t>/</w:t>
      </w:r>
      <w:r w:rsidR="00EA2670">
        <w:rPr>
          <w:lang w:val="bg-BG"/>
        </w:rPr>
        <w:t>27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EA2670">
        <w:rPr>
          <w:lang w:val="bg-BG"/>
        </w:rPr>
        <w:t>1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366E1C" w:rsidRPr="00C261AE" w:rsidRDefault="00366E1C" w:rsidP="00366E1C">
      <w:pPr>
        <w:ind w:firstLine="708"/>
        <w:jc w:val="both"/>
        <w:rPr>
          <w:b/>
          <w:lang w:val="bg-BG" w:eastAsia="bg-BG"/>
        </w:rPr>
      </w:pPr>
      <w:r w:rsidRPr="00C261AE">
        <w:rPr>
          <w:lang w:val="bg-BG"/>
        </w:rPr>
        <w:t xml:space="preserve">Подробен устройствен план (ПУП) – План за застрояване (ПЗ) за УПИ ХХV, кв.51 по плана на </w:t>
      </w:r>
      <w:proofErr w:type="spellStart"/>
      <w:r w:rsidRPr="00C261AE">
        <w:rPr>
          <w:lang w:val="bg-BG"/>
        </w:rPr>
        <w:t>гр.Севлиево</w:t>
      </w:r>
      <w:proofErr w:type="spellEnd"/>
      <w:r w:rsidRPr="00C261AE">
        <w:rPr>
          <w:lang w:val="bg-BG"/>
        </w:rPr>
        <w:t xml:space="preserve">, изработен на основание чл.134, ал.1, т.1 от ЗУТ </w:t>
      </w:r>
      <w:r w:rsidRPr="00C261AE">
        <w:rPr>
          <w:rFonts w:eastAsia="Calibri"/>
          <w:lang w:val="bg-BG" w:eastAsia="bg-BG"/>
        </w:rPr>
        <w:t>със съдържание</w:t>
      </w:r>
      <w:r w:rsidRPr="00C261AE">
        <w:rPr>
          <w:lang w:val="bg-BG"/>
        </w:rPr>
        <w:t>:</w:t>
      </w:r>
    </w:p>
    <w:p w:rsidR="00366E1C" w:rsidRPr="00C261AE" w:rsidRDefault="00366E1C" w:rsidP="00366E1C">
      <w:pPr>
        <w:jc w:val="both"/>
        <w:rPr>
          <w:rFonts w:eastAsia="Calibri"/>
          <w:b/>
          <w:lang w:val="bg-BG"/>
        </w:rPr>
      </w:pPr>
      <w:r w:rsidRPr="00C261AE">
        <w:rPr>
          <w:rFonts w:eastAsia="Calibri"/>
          <w:b/>
          <w:lang w:val="bg-BG"/>
        </w:rPr>
        <w:t xml:space="preserve">            ПЛАН ЗА ЗАСТРОЯВАНЕ (ПЗ):</w:t>
      </w:r>
    </w:p>
    <w:p w:rsidR="00366E1C" w:rsidRPr="00C261AE" w:rsidRDefault="00366E1C" w:rsidP="00366E1C">
      <w:pPr>
        <w:jc w:val="both"/>
        <w:rPr>
          <w:rFonts w:eastAsia="Calibri"/>
          <w:lang w:val="bg-BG"/>
        </w:rPr>
      </w:pPr>
      <w:r w:rsidRPr="00C261AE">
        <w:rPr>
          <w:rFonts w:eastAsia="Calibri"/>
          <w:lang w:val="bg-BG"/>
        </w:rPr>
        <w:tab/>
        <w:t xml:space="preserve">За УПИ ХХV, кв.51 се въвежда устройствена зона – </w:t>
      </w:r>
      <w:proofErr w:type="spellStart"/>
      <w:r w:rsidRPr="00C261AE">
        <w:rPr>
          <w:rFonts w:eastAsia="Calibri"/>
          <w:lang w:val="bg-BG"/>
        </w:rPr>
        <w:t>Жс</w:t>
      </w:r>
      <w:proofErr w:type="spellEnd"/>
      <w:r w:rsidRPr="00C261AE">
        <w:rPr>
          <w:rFonts w:eastAsia="Calibri"/>
          <w:lang w:val="bg-BG"/>
        </w:rPr>
        <w:t>, със следните устройствени показатели:</w:t>
      </w:r>
    </w:p>
    <w:p w:rsidR="00366E1C" w:rsidRPr="00C261AE" w:rsidRDefault="00366E1C" w:rsidP="00366E1C">
      <w:pPr>
        <w:jc w:val="both"/>
        <w:rPr>
          <w:rFonts w:eastAsia="Calibri"/>
          <w:lang w:val="bg-BG" w:eastAsia="bg-BG"/>
        </w:rPr>
      </w:pPr>
      <w:r w:rsidRPr="00C261AE">
        <w:rPr>
          <w:rFonts w:eastAsia="Calibri"/>
          <w:lang w:val="bg-BG" w:eastAsia="bg-BG"/>
        </w:rPr>
        <w:t xml:space="preserve">             - начин на застрояване – свободно;</w:t>
      </w:r>
    </w:p>
    <w:p w:rsidR="00366E1C" w:rsidRPr="00C261AE" w:rsidRDefault="00366E1C" w:rsidP="00366E1C">
      <w:pPr>
        <w:jc w:val="both"/>
        <w:rPr>
          <w:rFonts w:eastAsia="Calibri"/>
          <w:lang w:val="bg-BG" w:eastAsia="bg-BG"/>
        </w:rPr>
      </w:pPr>
      <w:r w:rsidRPr="00C261AE">
        <w:rPr>
          <w:rFonts w:eastAsia="Calibri"/>
          <w:lang w:val="bg-BG" w:eastAsia="bg-BG"/>
        </w:rPr>
        <w:t xml:space="preserve">             - характер на застрояване – средно с височина до 15м;</w:t>
      </w:r>
    </w:p>
    <w:p w:rsidR="00366E1C" w:rsidRPr="00C261AE" w:rsidRDefault="00366E1C" w:rsidP="00366E1C">
      <w:pPr>
        <w:jc w:val="both"/>
        <w:rPr>
          <w:rFonts w:eastAsia="Calibri"/>
          <w:lang w:val="bg-BG" w:eastAsia="bg-BG"/>
        </w:rPr>
      </w:pPr>
      <w:r w:rsidRPr="00C261AE">
        <w:rPr>
          <w:rFonts w:eastAsia="Calibri"/>
          <w:lang w:val="bg-BG" w:eastAsia="bg-BG"/>
        </w:rPr>
        <w:t xml:space="preserve">             - максимална плътност на застрояване – 70%;</w:t>
      </w:r>
    </w:p>
    <w:p w:rsidR="00366E1C" w:rsidRPr="00C261AE" w:rsidRDefault="00366E1C" w:rsidP="00366E1C">
      <w:pPr>
        <w:jc w:val="both"/>
        <w:rPr>
          <w:rFonts w:eastAsia="Calibri"/>
          <w:lang w:val="bg-BG" w:eastAsia="bg-BG"/>
        </w:rPr>
      </w:pPr>
      <w:r w:rsidRPr="00C261AE">
        <w:rPr>
          <w:rFonts w:eastAsia="Calibri"/>
          <w:lang w:val="bg-BG" w:eastAsia="bg-BG"/>
        </w:rPr>
        <w:t xml:space="preserve">             - максимална интензивност на застрояване – 2,0;</w:t>
      </w:r>
    </w:p>
    <w:p w:rsidR="00366E1C" w:rsidRPr="00C261AE" w:rsidRDefault="00366E1C" w:rsidP="00366E1C">
      <w:pPr>
        <w:jc w:val="both"/>
        <w:rPr>
          <w:rFonts w:eastAsia="Calibri"/>
          <w:lang w:val="bg-BG" w:eastAsia="bg-BG"/>
        </w:rPr>
      </w:pPr>
      <w:r w:rsidRPr="00C261AE">
        <w:rPr>
          <w:rFonts w:eastAsia="Calibri"/>
          <w:lang w:val="bg-BG" w:eastAsia="bg-BG"/>
        </w:rPr>
        <w:t xml:space="preserve">             - минимална озеленена площ – 30%;</w:t>
      </w:r>
    </w:p>
    <w:p w:rsidR="00366E1C" w:rsidRPr="00C261AE" w:rsidRDefault="00366E1C" w:rsidP="00366E1C">
      <w:pPr>
        <w:jc w:val="both"/>
        <w:rPr>
          <w:rFonts w:eastAsia="Calibri"/>
          <w:lang w:val="bg-BG"/>
        </w:rPr>
      </w:pPr>
      <w:r w:rsidRPr="00C261AE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366E1C" w:rsidRPr="00C261AE" w:rsidRDefault="00366E1C" w:rsidP="00366E1C">
      <w:pPr>
        <w:jc w:val="both"/>
        <w:rPr>
          <w:rFonts w:eastAsia="Calibri"/>
          <w:lang w:val="bg-BG"/>
        </w:rPr>
      </w:pPr>
      <w:r w:rsidRPr="00C261AE">
        <w:rPr>
          <w:rFonts w:eastAsia="Calibri"/>
          <w:lang w:val="bg-BG"/>
        </w:rPr>
        <w:t xml:space="preserve">             Неразделна част от ПЗ са 1бр. чертеж и обяснителна записка 1 лист,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bookmarkStart w:id="0" w:name="_GoBack"/>
      <w:bookmarkEnd w:id="0"/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EA2670">
        <w:rPr>
          <w:lang w:val="bg-BG"/>
        </w:rPr>
        <w:t>27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EA2670">
        <w:rPr>
          <w:lang w:val="bg-BG"/>
        </w:rPr>
        <w:t>1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B2" w:rsidRDefault="00B063B2">
      <w:r>
        <w:separator/>
      </w:r>
    </w:p>
  </w:endnote>
  <w:endnote w:type="continuationSeparator" w:id="0">
    <w:p w:rsidR="00B063B2" w:rsidRDefault="00B0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B2" w:rsidRDefault="00B063B2">
      <w:r>
        <w:separator/>
      </w:r>
    </w:p>
  </w:footnote>
  <w:footnote w:type="continuationSeparator" w:id="0">
    <w:p w:rsidR="00B063B2" w:rsidRDefault="00B0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0B085AF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827F-9FDA-4CAC-9928-7B546AFF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2352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2023-01-27T11:28:00Z</dcterms:created>
  <dcterms:modified xsi:type="dcterms:W3CDTF">2023-01-27T11:28:00Z</dcterms:modified>
</cp:coreProperties>
</file>